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2D1010C7"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73E6971C" w14:textId="77777777" w:rsidR="00EA7AD2" w:rsidRPr="006E02E4" w:rsidRDefault="00EA7AD2" w:rsidP="0061014A">
            <w:pPr>
              <w:spacing w:line="360" w:lineRule="auto"/>
              <w:jc w:val="center"/>
              <w:rPr>
                <w:rFonts w:ascii="Verdana" w:hAnsi="Verdana" w:cs="Arial"/>
                <w:b/>
                <w:sz w:val="20"/>
                <w:szCs w:val="20"/>
              </w:rPr>
            </w:pPr>
            <w:bookmarkStart w:id="0" w:name="_Hlk97651899"/>
            <w:r>
              <w:rPr>
                <w:rFonts w:ascii="Verdana" w:hAnsi="Verdana"/>
                <w:b/>
                <w:sz w:val="20"/>
              </w:rPr>
              <w:t>Annex 4 to the contract</w:t>
            </w:r>
          </w:p>
          <w:p w14:paraId="703FF23F" w14:textId="77777777" w:rsidR="00EA7AD2" w:rsidRPr="006E02E4" w:rsidRDefault="00EA7AD2" w:rsidP="0061014A">
            <w:pPr>
              <w:tabs>
                <w:tab w:val="left" w:pos="5670"/>
              </w:tabs>
              <w:jc w:val="center"/>
              <w:rPr>
                <w:rFonts w:ascii="Verdana" w:hAnsi="Verdana" w:cs="Arial"/>
                <w:b/>
                <w:sz w:val="20"/>
                <w:szCs w:val="20"/>
              </w:rPr>
            </w:pPr>
            <w:r>
              <w:rPr>
                <w:rFonts w:ascii="Verdana" w:hAnsi="Verdana"/>
                <w:b/>
                <w:sz w:val="20"/>
              </w:rPr>
              <w:t>according to DE-UZ 5</w:t>
            </w:r>
            <w:r>
              <w:rPr>
                <w:rFonts w:ascii="Verdana" w:hAnsi="Verdana"/>
                <w:b/>
                <w:sz w:val="20"/>
              </w:rPr>
              <w:br/>
            </w:r>
            <w:r>
              <w:rPr>
                <w:rFonts w:ascii="Verdana" w:hAnsi="Verdana"/>
                <w:b/>
                <w:sz w:val="20"/>
              </w:rPr>
              <w:br/>
              <w:t xml:space="preserve">THIS ANNEX IS FOR: Applicants as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14:paraId="603D5C70" w14:textId="77777777" w:rsidR="00EA7AD2" w:rsidRPr="006E02E4" w:rsidRDefault="00EA7AD2" w:rsidP="0061014A">
            <w:pPr>
              <w:tabs>
                <w:tab w:val="left" w:pos="5670"/>
              </w:tabs>
              <w:spacing w:before="120" w:line="360" w:lineRule="auto"/>
              <w:ind w:left="74" w:right="74"/>
              <w:jc w:val="center"/>
              <w:rPr>
                <w:rFonts w:ascii="Verdana" w:hAnsi="Verdana" w:cs="Arial"/>
                <w:sz w:val="20"/>
                <w:szCs w:val="20"/>
              </w:rPr>
            </w:pPr>
            <w:r>
              <w:rPr>
                <w:rFonts w:ascii="Verdana" w:hAnsi="Verdana"/>
                <w:b/>
                <w:sz w:val="20"/>
              </w:rPr>
              <w:t>Please only use this form!</w:t>
            </w:r>
          </w:p>
        </w:tc>
      </w:tr>
    </w:tbl>
    <w:p w14:paraId="5C605ED5" w14:textId="77777777" w:rsidR="00EA7AD2" w:rsidRDefault="00EA7AD2" w:rsidP="00EA7AD2">
      <w:pPr>
        <w:tabs>
          <w:tab w:val="left" w:pos="5670"/>
        </w:tabs>
        <w:rPr>
          <w:rFonts w:ascii="Verdana" w:hAnsi="Verdana" w:cs="Arial"/>
          <w:b/>
          <w:sz w:val="20"/>
          <w:szCs w:val="20"/>
        </w:rPr>
      </w:pPr>
      <w:r>
        <w:rPr>
          <w:rFonts w:ascii="Verdana" w:hAnsi="Verdana"/>
          <w:b/>
          <w:sz w:val="20"/>
        </w:rPr>
        <w:br/>
        <w:t>Environmental label for “Sanitary Paper”, Paragraph 3.10.1, direct discharge</w:t>
      </w:r>
    </w:p>
    <w:p w14:paraId="78230896" w14:textId="389F99C0" w:rsidR="006A6BE2" w:rsidRDefault="006A6BE2" w:rsidP="00EA7AD2">
      <w:pPr>
        <w:tabs>
          <w:tab w:val="left" w:pos="5670"/>
        </w:tabs>
        <w:rPr>
          <w:rFonts w:ascii="Verdana" w:hAnsi="Verdana" w:cs="Arial"/>
          <w:sz w:val="20"/>
          <w:szCs w:val="20"/>
        </w:rPr>
      </w:pPr>
      <w:r>
        <w:rPr>
          <w:rFonts w:ascii="Verdana" w:hAnsi="Verdana"/>
          <w:sz w:val="20"/>
        </w:rPr>
        <w:t xml:space="preserve">Please check </w:t>
      </w:r>
      <w:r w:rsidR="00B67247">
        <w:rPr>
          <w:rFonts w:ascii="Verdana" w:hAnsi="Verdana"/>
          <w:sz w:val="20"/>
        </w:rPr>
        <w:t>the relevant box</w:t>
      </w:r>
      <w:r>
        <w:rPr>
          <w:rFonts w:ascii="Verdana" w:hAnsi="Verdana"/>
          <w:sz w:val="20"/>
        </w:rPr>
        <w:t xml:space="preserve"> and enter the measurement values. </w:t>
      </w:r>
    </w:p>
    <w:p w14:paraId="730D6251" w14:textId="77777777" w:rsidR="006A6BE2" w:rsidRDefault="006A6BE2" w:rsidP="00EA7AD2">
      <w:pPr>
        <w:tabs>
          <w:tab w:val="left" w:pos="5670"/>
        </w:tabs>
        <w:rPr>
          <w:rFonts w:ascii="Verdana" w:hAnsi="Verdana" w:cs="Arial"/>
          <w:sz w:val="20"/>
          <w:szCs w:val="20"/>
        </w:rPr>
      </w:pPr>
    </w:p>
    <w:p w14:paraId="6381B921" w14:textId="18892D7F" w:rsidR="006A6BE2" w:rsidRPr="006A6BE2" w:rsidRDefault="006A6BE2" w:rsidP="00EA7AD2">
      <w:pPr>
        <w:tabs>
          <w:tab w:val="left" w:pos="5670"/>
        </w:tabs>
        <w:rPr>
          <w:rFonts w:ascii="Verdana" w:hAnsi="Verdana" w:cs="Arial"/>
          <w:sz w:val="20"/>
          <w:szCs w:val="20"/>
        </w:rPr>
      </w:pPr>
      <w:r>
        <w:rPr>
          <w:rFonts w:ascii="Verdana" w:hAnsi="Verdana"/>
          <w:sz w:val="20"/>
          <w:u w:val="single"/>
        </w:rPr>
        <w:t>Paper factory with deinking</w:t>
      </w:r>
      <w:r>
        <w:rPr>
          <w:rFonts w:ascii="Verdana" w:hAnsi="Verdana"/>
          <w:sz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sidR="00C750FC">
            <w:rPr>
              <w:rFonts w:ascii="MS Gothic" w:eastAsia="MS Gothic" w:hAnsi="MS Gothic" w:cs="Arial" w:hint="eastAsia"/>
              <w:sz w:val="20"/>
              <w:szCs w:val="20"/>
            </w:rPr>
            <w:t>☐</w:t>
          </w:r>
        </w:sdtContent>
      </w:sdt>
    </w:p>
    <w:p w14:paraId="02A82300" w14:textId="77777777" w:rsidR="00B63A50" w:rsidRPr="00B63A50" w:rsidRDefault="00B63A50" w:rsidP="004D447F">
      <w:pPr>
        <w:rPr>
          <w:rFonts w:ascii="Verdana" w:hAnsi="Verdana"/>
          <w:sz w:val="20"/>
          <w:szCs w:val="20"/>
        </w:rPr>
      </w:pPr>
      <w:r>
        <w:rPr>
          <w:rFonts w:ascii="Verdana" w:hAnsi="Verdana"/>
          <w:sz w:val="20"/>
        </w:rPr>
        <w:t>or</w:t>
      </w:r>
    </w:p>
    <w:p w14:paraId="07535BB8" w14:textId="5102CAD8" w:rsidR="00953423" w:rsidRPr="00B63A50" w:rsidRDefault="00953423" w:rsidP="004D447F">
      <w:pPr>
        <w:rPr>
          <w:rFonts w:ascii="Verdana" w:hAnsi="Verdana"/>
          <w:sz w:val="20"/>
          <w:szCs w:val="20"/>
        </w:rPr>
      </w:pPr>
      <w:r>
        <w:rPr>
          <w:rFonts w:ascii="Verdana" w:hAnsi="Verdana"/>
          <w:sz w:val="20"/>
          <w:u w:val="single"/>
        </w:rPr>
        <w:t>Purchased deinked recovered paper</w:t>
      </w:r>
      <w:r>
        <w:rPr>
          <w:rFonts w:ascii="Verdana" w:hAnsi="Verdana"/>
          <w:sz w:val="20"/>
        </w:rPr>
        <w:t xml:space="preserve"> (DIP) as semi-finished product                              </w:t>
      </w:r>
      <w:sdt>
        <w:sdtPr>
          <w:rPr>
            <w:rFonts w:ascii="Verdana" w:hAnsi="Verdana"/>
            <w:sz w:val="20"/>
            <w:szCs w:val="20"/>
          </w:rPr>
          <w:id w:val="1128970713"/>
          <w14:checkbox>
            <w14:checked w14:val="0"/>
            <w14:checkedState w14:val="2612" w14:font="MS Gothic"/>
            <w14:uncheckedState w14:val="2610" w14:font="MS Gothic"/>
          </w14:checkbox>
        </w:sdtPr>
        <w:sdtEndPr/>
        <w:sdtContent>
          <w:r w:rsidR="00C750FC">
            <w:rPr>
              <w:rFonts w:ascii="MS Gothic" w:eastAsia="MS Gothic" w:hAnsi="MS Gothic" w:hint="eastAsia"/>
              <w:sz w:val="20"/>
              <w:szCs w:val="20"/>
            </w:rPr>
            <w:t>☐</w:t>
          </w:r>
        </w:sdtContent>
      </w:sdt>
    </w:p>
    <w:p w14:paraId="23F25579" w14:textId="77777777" w:rsidR="00953423" w:rsidRDefault="00953423" w:rsidP="004D447F">
      <w:pPr>
        <w:rPr>
          <w:rFonts w:ascii="Verdana" w:hAnsi="Verdana"/>
          <w:sz w:val="20"/>
          <w:szCs w:val="20"/>
        </w:rPr>
      </w:pPr>
    </w:p>
    <w:p w14:paraId="22C5D333" w14:textId="77777777" w:rsidR="004D447F" w:rsidRPr="006E02E4" w:rsidRDefault="004D447F" w:rsidP="004D447F">
      <w:pPr>
        <w:rPr>
          <w:rFonts w:ascii="Verdana" w:hAnsi="Verdana"/>
          <w:sz w:val="20"/>
          <w:szCs w:val="20"/>
        </w:rPr>
      </w:pPr>
      <w:r>
        <w:rPr>
          <w:rFonts w:ascii="Verdana" w:hAnsi="Verdana"/>
          <w:sz w:val="20"/>
        </w:rPr>
        <w:t>Table 3-2 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8"/>
        <w:gridCol w:w="3243"/>
      </w:tblGrid>
      <w:tr w:rsidR="004D447F" w:rsidRPr="006E02E4" w14:paraId="5E5D652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A44045D" w14:textId="77777777" w:rsidR="004D447F" w:rsidRPr="006E02E4" w:rsidRDefault="004D447F" w:rsidP="00B30133">
            <w:pPr>
              <w:rPr>
                <w:rFonts w:ascii="Verdana" w:hAnsi="Verdana"/>
                <w:sz w:val="20"/>
                <w:szCs w:val="20"/>
              </w:rPr>
            </w:pPr>
            <w:r>
              <w:rPr>
                <w:rFonts w:ascii="Verdana" w:hAnsi="Verdana"/>
                <w:sz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3E6821CA" w14:textId="77777777" w:rsidR="004D447F" w:rsidRPr="006E02E4" w:rsidRDefault="004D447F" w:rsidP="00B30133">
            <w:pPr>
              <w:rPr>
                <w:rFonts w:ascii="Verdana" w:hAnsi="Verdana"/>
                <w:sz w:val="20"/>
                <w:szCs w:val="20"/>
              </w:rPr>
            </w:pPr>
            <w:r>
              <w:rPr>
                <w:rFonts w:ascii="Verdana" w:hAnsi="Verdana"/>
                <w:sz w:val="20"/>
              </w:rPr>
              <w:t xml:space="preserve">Maximum limit for waste water emissions </w:t>
            </w:r>
          </w:p>
          <w:p w14:paraId="3BE514D8" w14:textId="77777777" w:rsidR="004D447F" w:rsidRPr="006E02E4" w:rsidRDefault="004D447F" w:rsidP="00B30133">
            <w:pPr>
              <w:rPr>
                <w:rFonts w:ascii="Verdana" w:hAnsi="Verdana"/>
                <w:sz w:val="20"/>
                <w:szCs w:val="20"/>
              </w:rPr>
            </w:pPr>
            <w:r>
              <w:rPr>
                <w:rFonts w:ascii="Verdana" w:hAnsi="Verdana"/>
                <w:sz w:val="20"/>
              </w:rPr>
              <w:t>(average annual value as a load or concentration)</w:t>
            </w:r>
          </w:p>
        </w:tc>
      </w:tr>
      <w:tr w:rsidR="004D447F" w:rsidRPr="006E02E4" w14:paraId="60E69F2C" w14:textId="77777777" w:rsidTr="006A6BE2">
        <w:tc>
          <w:tcPr>
            <w:tcW w:w="2749" w:type="dxa"/>
            <w:tcBorders>
              <w:top w:val="single" w:sz="4" w:space="0" w:color="auto"/>
              <w:left w:val="single" w:sz="4" w:space="0" w:color="auto"/>
              <w:bottom w:val="single" w:sz="4" w:space="0" w:color="auto"/>
              <w:right w:val="single" w:sz="4" w:space="0" w:color="auto"/>
            </w:tcBorders>
          </w:tcPr>
          <w:p w14:paraId="3FFE7C55"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20F4A9B0" w14:textId="77777777" w:rsidR="004D447F" w:rsidRPr="006E02E4" w:rsidRDefault="004D447F" w:rsidP="00B30133">
            <w:pPr>
              <w:rPr>
                <w:rFonts w:ascii="Verdana" w:hAnsi="Verdana"/>
                <w:sz w:val="20"/>
                <w:szCs w:val="20"/>
              </w:rPr>
            </w:pPr>
            <w:r>
              <w:rPr>
                <w:rFonts w:ascii="Verdana" w:hAnsi="Verdana"/>
                <w:sz w:val="20"/>
              </w:rPr>
              <w:t>Paper factory with deinking</w:t>
            </w:r>
          </w:p>
        </w:tc>
        <w:tc>
          <w:tcPr>
            <w:tcW w:w="3410" w:type="dxa"/>
            <w:tcBorders>
              <w:top w:val="single" w:sz="4" w:space="0" w:color="auto"/>
              <w:left w:val="single" w:sz="4" w:space="0" w:color="auto"/>
              <w:bottom w:val="single" w:sz="4" w:space="0" w:color="auto"/>
              <w:right w:val="single" w:sz="4" w:space="0" w:color="auto"/>
            </w:tcBorders>
          </w:tcPr>
          <w:p w14:paraId="651E927D" w14:textId="18EC4A89" w:rsidR="004D447F" w:rsidRPr="006E02E4" w:rsidRDefault="009E3109" w:rsidP="00B30133">
            <w:pPr>
              <w:rPr>
                <w:rFonts w:ascii="Verdana" w:hAnsi="Verdana"/>
                <w:sz w:val="20"/>
                <w:szCs w:val="20"/>
              </w:rPr>
            </w:pPr>
            <w:r>
              <w:rPr>
                <w:rFonts w:ascii="Verdana" w:hAnsi="Verdana"/>
                <w:sz w:val="20"/>
              </w:rPr>
              <w:t>Current</w:t>
            </w:r>
            <w:r w:rsidR="006A6BE2">
              <w:rPr>
                <w:rFonts w:ascii="Verdana" w:hAnsi="Verdana"/>
                <w:sz w:val="20"/>
              </w:rPr>
              <w:t xml:space="preserve"> value</w:t>
            </w:r>
          </w:p>
        </w:tc>
      </w:tr>
      <w:tr w:rsidR="004D447F" w:rsidRPr="006E02E4" w14:paraId="080E3A95"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A754C0E" w14:textId="77777777" w:rsidR="004D447F" w:rsidRPr="006E02E4" w:rsidRDefault="004D447F" w:rsidP="00B30133">
            <w:pPr>
              <w:rPr>
                <w:rFonts w:ascii="Verdana" w:hAnsi="Verdana"/>
                <w:sz w:val="20"/>
                <w:szCs w:val="20"/>
              </w:rPr>
            </w:pPr>
            <w:r>
              <w:rPr>
                <w:rFonts w:ascii="Verdana" w:hAnsi="Verdana"/>
                <w:sz w:val="20"/>
              </w:rPr>
              <w:t>Volumetric flow rate of waste water</w:t>
            </w:r>
          </w:p>
        </w:tc>
        <w:tc>
          <w:tcPr>
            <w:tcW w:w="3409" w:type="dxa"/>
            <w:tcBorders>
              <w:top w:val="single" w:sz="4" w:space="0" w:color="auto"/>
              <w:left w:val="single" w:sz="4" w:space="0" w:color="auto"/>
              <w:bottom w:val="single" w:sz="4" w:space="0" w:color="auto"/>
              <w:right w:val="single" w:sz="4" w:space="0" w:color="auto"/>
            </w:tcBorders>
            <w:hideMark/>
          </w:tcPr>
          <w:p w14:paraId="50F36C3C" w14:textId="77777777" w:rsidR="004D447F" w:rsidRPr="006E02E4" w:rsidRDefault="004D447F" w:rsidP="00B30133">
            <w:pPr>
              <w:rPr>
                <w:rFonts w:ascii="Verdana" w:hAnsi="Verdana"/>
                <w:sz w:val="20"/>
                <w:szCs w:val="20"/>
              </w:rPr>
            </w:pPr>
            <w:r>
              <w:rPr>
                <w:rFonts w:ascii="Verdana" w:hAnsi="Verdana"/>
                <w:sz w:val="20"/>
              </w:rPr>
              <w:t>&lt;25 m³/Adt</w:t>
            </w:r>
          </w:p>
        </w:tc>
        <w:tc>
          <w:tcPr>
            <w:tcW w:w="3410" w:type="dxa"/>
            <w:tcBorders>
              <w:top w:val="single" w:sz="4" w:space="0" w:color="auto"/>
              <w:left w:val="single" w:sz="4" w:space="0" w:color="auto"/>
              <w:bottom w:val="single" w:sz="4" w:space="0" w:color="auto"/>
              <w:right w:val="single" w:sz="4" w:space="0" w:color="auto"/>
            </w:tcBorders>
          </w:tcPr>
          <w:p w14:paraId="258C07A6" w14:textId="7EE965CF"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A5605E0"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24EA205A" w14:textId="77777777" w:rsidR="004D447F" w:rsidRPr="006E02E4" w:rsidRDefault="004D447F" w:rsidP="00B30133">
            <w:pPr>
              <w:rPr>
                <w:rFonts w:ascii="Verdana" w:hAnsi="Verdana"/>
                <w:sz w:val="20"/>
                <w:szCs w:val="20"/>
              </w:rPr>
            </w:pPr>
            <w:r>
              <w:rPr>
                <w:rFonts w:ascii="Verdana" w:hAnsi="Verdana"/>
                <w:sz w:val="20"/>
              </w:rPr>
              <w:t>COD</w:t>
            </w:r>
          </w:p>
        </w:tc>
        <w:tc>
          <w:tcPr>
            <w:tcW w:w="3409" w:type="dxa"/>
            <w:tcBorders>
              <w:top w:val="single" w:sz="4" w:space="0" w:color="auto"/>
              <w:left w:val="single" w:sz="4" w:space="0" w:color="auto"/>
              <w:bottom w:val="single" w:sz="4" w:space="0" w:color="auto"/>
              <w:right w:val="single" w:sz="4" w:space="0" w:color="auto"/>
            </w:tcBorders>
            <w:hideMark/>
          </w:tcPr>
          <w:p w14:paraId="44E7D557" w14:textId="77777777" w:rsidR="004D447F" w:rsidRPr="006E02E4" w:rsidRDefault="004D447F" w:rsidP="00B30133">
            <w:pPr>
              <w:rPr>
                <w:rFonts w:ascii="Verdana" w:hAnsi="Verdana"/>
                <w:sz w:val="20"/>
                <w:szCs w:val="20"/>
              </w:rPr>
            </w:pPr>
            <w:r>
              <w:rPr>
                <w:rFonts w:ascii="Verdana" w:hAnsi="Verdana"/>
                <w:sz w:val="20"/>
              </w:rPr>
              <w:t>&lt; 3 kg/Adt</w:t>
            </w:r>
          </w:p>
        </w:tc>
        <w:tc>
          <w:tcPr>
            <w:tcW w:w="3410" w:type="dxa"/>
            <w:tcBorders>
              <w:top w:val="single" w:sz="4" w:space="0" w:color="auto"/>
              <w:left w:val="single" w:sz="4" w:space="0" w:color="auto"/>
              <w:bottom w:val="single" w:sz="4" w:space="0" w:color="auto"/>
              <w:right w:val="single" w:sz="4" w:space="0" w:color="auto"/>
            </w:tcBorders>
          </w:tcPr>
          <w:p w14:paraId="0CF050BC" w14:textId="53B1D344"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1545118"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12C4A73" w14:textId="77777777" w:rsidR="004D447F" w:rsidRPr="006E02E4" w:rsidRDefault="004D447F" w:rsidP="00B30133">
            <w:pPr>
              <w:rPr>
                <w:rFonts w:ascii="Verdana" w:hAnsi="Verdana"/>
                <w:sz w:val="20"/>
                <w:szCs w:val="20"/>
              </w:rPr>
            </w:pPr>
            <w:r>
              <w:rPr>
                <w:rFonts w:ascii="Verdana" w:hAnsi="Verdana"/>
                <w:sz w:val="20"/>
              </w:rPr>
              <w:t>BSB5</w:t>
            </w:r>
          </w:p>
        </w:tc>
        <w:tc>
          <w:tcPr>
            <w:tcW w:w="3409" w:type="dxa"/>
            <w:tcBorders>
              <w:top w:val="single" w:sz="4" w:space="0" w:color="auto"/>
              <w:left w:val="single" w:sz="4" w:space="0" w:color="auto"/>
              <w:bottom w:val="single" w:sz="4" w:space="0" w:color="auto"/>
              <w:right w:val="single" w:sz="4" w:space="0" w:color="auto"/>
            </w:tcBorders>
            <w:hideMark/>
          </w:tcPr>
          <w:p w14:paraId="2B310328" w14:textId="77777777" w:rsidR="004D447F" w:rsidRPr="006E02E4" w:rsidRDefault="004D447F" w:rsidP="00B30133">
            <w:pPr>
              <w:rPr>
                <w:rFonts w:ascii="Verdana" w:hAnsi="Verdana"/>
                <w:sz w:val="20"/>
                <w:szCs w:val="20"/>
              </w:rPr>
            </w:pPr>
            <w:r>
              <w:rPr>
                <w:rFonts w:ascii="Verdana" w:hAnsi="Verdana"/>
                <w:sz w:val="20"/>
              </w:rPr>
              <w:t>&lt; 0.15 kg/Adt or &lt;25 mg/l</w:t>
            </w:r>
          </w:p>
        </w:tc>
        <w:tc>
          <w:tcPr>
            <w:tcW w:w="3410" w:type="dxa"/>
            <w:tcBorders>
              <w:top w:val="single" w:sz="4" w:space="0" w:color="auto"/>
              <w:left w:val="single" w:sz="4" w:space="0" w:color="auto"/>
              <w:bottom w:val="single" w:sz="4" w:space="0" w:color="auto"/>
              <w:right w:val="single" w:sz="4" w:space="0" w:color="auto"/>
            </w:tcBorders>
          </w:tcPr>
          <w:p w14:paraId="1252E628" w14:textId="4C088028"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445D2E76"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6AB7C0E9" w14:textId="77777777" w:rsidR="004D447F" w:rsidRPr="006E02E4" w:rsidRDefault="004D447F" w:rsidP="00B30133">
            <w:pPr>
              <w:rPr>
                <w:rFonts w:ascii="Verdana" w:hAnsi="Verdana"/>
                <w:sz w:val="20"/>
                <w:szCs w:val="20"/>
              </w:rPr>
            </w:pPr>
            <w:r>
              <w:rPr>
                <w:rFonts w:ascii="Verdana" w:hAnsi="Verdana"/>
                <w:sz w:val="20"/>
              </w:rPr>
              <w:t>AOX</w:t>
            </w:r>
          </w:p>
        </w:tc>
        <w:tc>
          <w:tcPr>
            <w:tcW w:w="3409" w:type="dxa"/>
            <w:tcBorders>
              <w:top w:val="single" w:sz="4" w:space="0" w:color="auto"/>
              <w:left w:val="single" w:sz="4" w:space="0" w:color="auto"/>
              <w:bottom w:val="single" w:sz="4" w:space="0" w:color="auto"/>
              <w:right w:val="single" w:sz="4" w:space="0" w:color="auto"/>
            </w:tcBorders>
            <w:hideMark/>
          </w:tcPr>
          <w:p w14:paraId="26709784" w14:textId="77777777" w:rsidR="004D447F" w:rsidRPr="006E02E4" w:rsidRDefault="004D447F" w:rsidP="00B30133">
            <w:pPr>
              <w:rPr>
                <w:rFonts w:ascii="Verdana" w:hAnsi="Verdana"/>
                <w:sz w:val="20"/>
                <w:szCs w:val="20"/>
              </w:rPr>
            </w:pPr>
            <w:r>
              <w:rPr>
                <w:rFonts w:ascii="Verdana" w:hAnsi="Verdana"/>
                <w:sz w:val="20"/>
              </w:rPr>
              <w:t>&lt; 0.01 kg/Adt</w:t>
            </w:r>
          </w:p>
        </w:tc>
        <w:tc>
          <w:tcPr>
            <w:tcW w:w="3410" w:type="dxa"/>
            <w:tcBorders>
              <w:top w:val="single" w:sz="4" w:space="0" w:color="auto"/>
              <w:left w:val="single" w:sz="4" w:space="0" w:color="auto"/>
              <w:bottom w:val="single" w:sz="4" w:space="0" w:color="auto"/>
              <w:right w:val="single" w:sz="4" w:space="0" w:color="auto"/>
            </w:tcBorders>
          </w:tcPr>
          <w:p w14:paraId="487179DF" w14:textId="3752591F"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B775F9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5CC4586" w14:textId="77777777" w:rsidR="004D447F" w:rsidRPr="006E02E4" w:rsidRDefault="004D447F" w:rsidP="00B30133">
            <w:pPr>
              <w:rPr>
                <w:rFonts w:ascii="Verdana" w:hAnsi="Verdana"/>
                <w:sz w:val="20"/>
                <w:szCs w:val="20"/>
              </w:rPr>
            </w:pPr>
            <w:r>
              <w:rPr>
                <w:rFonts w:ascii="Verdana" w:hAnsi="Verdana"/>
                <w:sz w:val="20"/>
              </w:rPr>
              <w:t>Total N (inorganic + organic N) (TNb)</w:t>
            </w:r>
          </w:p>
        </w:tc>
        <w:tc>
          <w:tcPr>
            <w:tcW w:w="3409" w:type="dxa"/>
            <w:tcBorders>
              <w:top w:val="single" w:sz="4" w:space="0" w:color="auto"/>
              <w:left w:val="single" w:sz="4" w:space="0" w:color="auto"/>
              <w:bottom w:val="single" w:sz="4" w:space="0" w:color="auto"/>
              <w:right w:val="single" w:sz="4" w:space="0" w:color="auto"/>
            </w:tcBorders>
            <w:hideMark/>
          </w:tcPr>
          <w:p w14:paraId="48940BA8" w14:textId="77777777" w:rsidR="004D447F" w:rsidRPr="006E02E4" w:rsidRDefault="004D447F" w:rsidP="00B30133">
            <w:pPr>
              <w:rPr>
                <w:rFonts w:ascii="Verdana" w:hAnsi="Verdana"/>
                <w:sz w:val="20"/>
                <w:szCs w:val="20"/>
              </w:rPr>
            </w:pPr>
            <w:r>
              <w:rPr>
                <w:rFonts w:ascii="Verdana" w:hAnsi="Verdana"/>
                <w:sz w:val="20"/>
              </w:rPr>
              <w:t>0.15 kg/Adt or 15 mg/l</w:t>
            </w:r>
          </w:p>
        </w:tc>
        <w:tc>
          <w:tcPr>
            <w:tcW w:w="3410" w:type="dxa"/>
            <w:tcBorders>
              <w:top w:val="single" w:sz="4" w:space="0" w:color="auto"/>
              <w:left w:val="single" w:sz="4" w:space="0" w:color="auto"/>
              <w:bottom w:val="single" w:sz="4" w:space="0" w:color="auto"/>
              <w:right w:val="single" w:sz="4" w:space="0" w:color="auto"/>
            </w:tcBorders>
          </w:tcPr>
          <w:p w14:paraId="72900E09" w14:textId="2C71B1CF"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469F576"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D9AE21F" w14:textId="77777777" w:rsidR="004D447F" w:rsidRPr="006E02E4" w:rsidRDefault="004D447F" w:rsidP="00B30133">
            <w:pPr>
              <w:rPr>
                <w:rFonts w:ascii="Verdana" w:hAnsi="Verdana"/>
                <w:sz w:val="20"/>
                <w:szCs w:val="20"/>
              </w:rPr>
            </w:pPr>
            <w:r>
              <w:rPr>
                <w:rFonts w:ascii="Verdana" w:hAnsi="Verdana"/>
                <w:sz w:val="20"/>
              </w:rPr>
              <w:t>Total P</w:t>
            </w:r>
          </w:p>
        </w:tc>
        <w:tc>
          <w:tcPr>
            <w:tcW w:w="3409" w:type="dxa"/>
            <w:tcBorders>
              <w:top w:val="single" w:sz="4" w:space="0" w:color="auto"/>
              <w:left w:val="single" w:sz="4" w:space="0" w:color="auto"/>
              <w:bottom w:val="single" w:sz="4" w:space="0" w:color="auto"/>
              <w:right w:val="single" w:sz="4" w:space="0" w:color="auto"/>
            </w:tcBorders>
            <w:hideMark/>
          </w:tcPr>
          <w:p w14:paraId="49E196ED" w14:textId="77777777" w:rsidR="004D447F" w:rsidRPr="006E02E4" w:rsidRDefault="004D447F" w:rsidP="00B30133">
            <w:pPr>
              <w:rPr>
                <w:rFonts w:ascii="Verdana" w:hAnsi="Verdana"/>
                <w:sz w:val="20"/>
                <w:szCs w:val="20"/>
              </w:rPr>
            </w:pPr>
            <w:r>
              <w:rPr>
                <w:rFonts w:ascii="Verdana" w:hAnsi="Verdana"/>
                <w:sz w:val="20"/>
              </w:rPr>
              <w:t>0.015 kg/Adt or 1.5 mg/l</w:t>
            </w:r>
          </w:p>
        </w:tc>
        <w:tc>
          <w:tcPr>
            <w:tcW w:w="3410" w:type="dxa"/>
            <w:tcBorders>
              <w:top w:val="single" w:sz="4" w:space="0" w:color="auto"/>
              <w:left w:val="single" w:sz="4" w:space="0" w:color="auto"/>
              <w:bottom w:val="single" w:sz="4" w:space="0" w:color="auto"/>
              <w:right w:val="single" w:sz="4" w:space="0" w:color="auto"/>
            </w:tcBorders>
          </w:tcPr>
          <w:p w14:paraId="6E67EFDD" w14:textId="5CC4FE72" w:rsidR="004D447F" w:rsidRPr="006E02E4" w:rsidRDefault="00C750FC"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0FFA733B" w14:textId="77777777" w:rsidR="004D447F" w:rsidRPr="006E02E4" w:rsidRDefault="006A6BE2" w:rsidP="004D447F">
      <w:pPr>
        <w:pStyle w:val="Funotentext"/>
      </w:pPr>
      <w:r>
        <w:br/>
        <w:t xml:space="preserve">Adt = air dried ton </w:t>
      </w:r>
    </w:p>
    <w:p w14:paraId="16235D3A" w14:textId="77777777" w:rsidR="004D447F" w:rsidRPr="006E02E4" w:rsidRDefault="004D447F" w:rsidP="004D447F">
      <w:pPr>
        <w:pStyle w:val="Funotentext"/>
      </w:pPr>
      <w:r>
        <w:t>COD = chemical oxygen demand</w:t>
      </w:r>
    </w:p>
    <w:p w14:paraId="65BC35C9" w14:textId="77777777" w:rsidR="004D447F" w:rsidRPr="006E02E4" w:rsidRDefault="004D447F" w:rsidP="004D447F">
      <w:pPr>
        <w:pStyle w:val="Funotentext"/>
      </w:pPr>
      <w:r>
        <w:t>BSB5 = biological oxygen demand (5 days)</w:t>
      </w:r>
    </w:p>
    <w:p w14:paraId="0068574F" w14:textId="77777777" w:rsidR="004D447F" w:rsidRPr="006E02E4" w:rsidRDefault="004D447F" w:rsidP="004D447F">
      <w:pPr>
        <w:pStyle w:val="Funotentext"/>
      </w:pPr>
      <w:r>
        <w:t>AOX = adsorbable organically combined halogens</w:t>
      </w:r>
    </w:p>
    <w:p w14:paraId="3DEA2BC5" w14:textId="77777777" w:rsidR="004D447F" w:rsidRPr="006E02E4" w:rsidRDefault="004D447F" w:rsidP="004D447F">
      <w:pPr>
        <w:pStyle w:val="Funotentext"/>
      </w:pPr>
      <w:r>
        <w:t>Total N = total nitrogen TNb = total Nitrogen bound.</w:t>
      </w:r>
      <w:r w:rsidRPr="006E02E4">
        <w:rPr>
          <w:rStyle w:val="Funotenzeichen"/>
        </w:rPr>
        <w:footnoteReference w:id="1"/>
      </w:r>
    </w:p>
    <w:p w14:paraId="5B9DF5A4" w14:textId="77777777" w:rsidR="004D447F" w:rsidRDefault="004D447F" w:rsidP="004D447F">
      <w:pPr>
        <w:pStyle w:val="Funotentext"/>
      </w:pPr>
      <w:r>
        <w:t>Total P = total phosphorous</w:t>
      </w:r>
    </w:p>
    <w:p w14:paraId="55E56AF8" w14:textId="77777777" w:rsidR="006A6BE2" w:rsidRDefault="006A6BE2" w:rsidP="004D447F">
      <w:pPr>
        <w:pStyle w:val="Funotentext"/>
      </w:pPr>
    </w:p>
    <w:p w14:paraId="5D45967E" w14:textId="77777777" w:rsidR="006A6BE2" w:rsidRDefault="006A6BE2" w:rsidP="004D447F">
      <w:pPr>
        <w:pStyle w:val="Funotentext"/>
      </w:pPr>
    </w:p>
    <w:p w14:paraId="51AB36EA" w14:textId="77777777" w:rsidR="006A6BE2" w:rsidRDefault="006A6BE2" w:rsidP="004D447F">
      <w:pPr>
        <w:pStyle w:val="Funotentext"/>
      </w:pPr>
    </w:p>
    <w:p w14:paraId="3066925D" w14:textId="77777777" w:rsidR="006A6BE2" w:rsidRDefault="006A6BE2" w:rsidP="004D447F">
      <w:pPr>
        <w:pStyle w:val="Funotentext"/>
      </w:pPr>
    </w:p>
    <w:p w14:paraId="6A09CE14" w14:textId="4CA9F25D" w:rsidR="006A6BE2" w:rsidRPr="006A6BE2" w:rsidRDefault="006A6BE2" w:rsidP="006A6BE2">
      <w:pPr>
        <w:tabs>
          <w:tab w:val="left" w:pos="5670"/>
        </w:tabs>
        <w:rPr>
          <w:rFonts w:ascii="Verdana" w:hAnsi="Verdana" w:cs="Arial"/>
          <w:sz w:val="20"/>
          <w:szCs w:val="20"/>
        </w:rPr>
      </w:pPr>
      <w:r>
        <w:rPr>
          <w:rFonts w:ascii="Verdana" w:hAnsi="Verdana"/>
          <w:sz w:val="20"/>
          <w:u w:val="single"/>
        </w:rPr>
        <w:lastRenderedPageBreak/>
        <w:t>Paper factory without deinking</w:t>
      </w:r>
      <w:r>
        <w:rPr>
          <w:rFonts w:ascii="Verdana" w:hAnsi="Verdana"/>
          <w:sz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p w14:paraId="1533BC5F" w14:textId="77777777" w:rsidR="006A6BE2" w:rsidRPr="006E02E4" w:rsidRDefault="006A6BE2" w:rsidP="006A6BE2">
      <w:pPr>
        <w:rPr>
          <w:rFonts w:ascii="Verdana" w:hAnsi="Verdana"/>
          <w:sz w:val="20"/>
          <w:szCs w:val="20"/>
        </w:rPr>
      </w:pPr>
      <w:r>
        <w:rPr>
          <w:rFonts w:ascii="Verdana" w:hAnsi="Verdana"/>
          <w:sz w:val="20"/>
        </w:rPr>
        <w:t>Table 3-2 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7"/>
        <w:gridCol w:w="3209"/>
        <w:gridCol w:w="3261"/>
      </w:tblGrid>
      <w:tr w:rsidR="006A6BE2" w:rsidRPr="006E02E4" w14:paraId="4914C8CB"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7CCE3996" w14:textId="77777777" w:rsidR="006A6BE2" w:rsidRPr="006E02E4" w:rsidRDefault="006A6BE2" w:rsidP="00562DE7">
            <w:pPr>
              <w:rPr>
                <w:rFonts w:ascii="Verdana" w:hAnsi="Verdana"/>
                <w:sz w:val="20"/>
                <w:szCs w:val="20"/>
              </w:rPr>
            </w:pPr>
            <w:r>
              <w:rPr>
                <w:rFonts w:ascii="Verdana" w:hAnsi="Verdana"/>
                <w:sz w:val="20"/>
              </w:rPr>
              <w:t>Parameter</w:t>
            </w:r>
          </w:p>
        </w:tc>
        <w:tc>
          <w:tcPr>
            <w:tcW w:w="6470" w:type="dxa"/>
            <w:gridSpan w:val="2"/>
            <w:tcBorders>
              <w:top w:val="single" w:sz="4" w:space="0" w:color="auto"/>
              <w:left w:val="single" w:sz="4" w:space="0" w:color="auto"/>
              <w:bottom w:val="single" w:sz="4" w:space="0" w:color="auto"/>
              <w:right w:val="single" w:sz="4" w:space="0" w:color="auto"/>
            </w:tcBorders>
            <w:hideMark/>
          </w:tcPr>
          <w:p w14:paraId="0E842EB9" w14:textId="77777777" w:rsidR="006A6BE2" w:rsidRPr="006E02E4" w:rsidRDefault="006A6BE2" w:rsidP="00562DE7">
            <w:pPr>
              <w:rPr>
                <w:rFonts w:ascii="Verdana" w:hAnsi="Verdana"/>
                <w:sz w:val="20"/>
                <w:szCs w:val="20"/>
              </w:rPr>
            </w:pPr>
            <w:r>
              <w:rPr>
                <w:rFonts w:ascii="Verdana" w:hAnsi="Verdana"/>
                <w:sz w:val="20"/>
              </w:rPr>
              <w:t xml:space="preserve">Maximum limit for waste water emissions </w:t>
            </w:r>
          </w:p>
          <w:p w14:paraId="0001332C" w14:textId="77777777" w:rsidR="006A6BE2" w:rsidRPr="006E02E4" w:rsidRDefault="006A6BE2" w:rsidP="00562DE7">
            <w:pPr>
              <w:rPr>
                <w:rFonts w:ascii="Verdana" w:hAnsi="Verdana"/>
                <w:sz w:val="20"/>
                <w:szCs w:val="20"/>
              </w:rPr>
            </w:pPr>
            <w:r>
              <w:rPr>
                <w:rFonts w:ascii="Verdana" w:hAnsi="Verdana"/>
                <w:sz w:val="20"/>
              </w:rPr>
              <w:t>(average annual value as a load or concentration)</w:t>
            </w:r>
          </w:p>
        </w:tc>
      </w:tr>
      <w:tr w:rsidR="006A6BE2" w:rsidRPr="006E02E4" w14:paraId="1E979A35" w14:textId="77777777" w:rsidTr="006A6BE2">
        <w:tc>
          <w:tcPr>
            <w:tcW w:w="2667" w:type="dxa"/>
            <w:tcBorders>
              <w:top w:val="single" w:sz="4" w:space="0" w:color="auto"/>
              <w:left w:val="single" w:sz="4" w:space="0" w:color="auto"/>
              <w:bottom w:val="single" w:sz="4" w:space="0" w:color="auto"/>
              <w:right w:val="single" w:sz="4" w:space="0" w:color="auto"/>
            </w:tcBorders>
          </w:tcPr>
          <w:p w14:paraId="3D67FB39" w14:textId="77777777" w:rsidR="006A6BE2" w:rsidRPr="006E02E4" w:rsidRDefault="006A6BE2" w:rsidP="00562DE7">
            <w:pPr>
              <w:rPr>
                <w:rFonts w:ascii="Verdana" w:hAnsi="Verdana"/>
                <w:sz w:val="20"/>
                <w:szCs w:val="20"/>
              </w:rPr>
            </w:pPr>
          </w:p>
        </w:tc>
        <w:tc>
          <w:tcPr>
            <w:tcW w:w="3209" w:type="dxa"/>
            <w:tcBorders>
              <w:top w:val="single" w:sz="4" w:space="0" w:color="auto"/>
              <w:left w:val="single" w:sz="4" w:space="0" w:color="auto"/>
              <w:bottom w:val="single" w:sz="4" w:space="0" w:color="auto"/>
              <w:right w:val="single" w:sz="4" w:space="0" w:color="auto"/>
            </w:tcBorders>
            <w:hideMark/>
          </w:tcPr>
          <w:p w14:paraId="591D9B7D" w14:textId="5C38DE41" w:rsidR="006A6BE2" w:rsidRPr="006E02E4" w:rsidRDefault="008E72AE" w:rsidP="00562DE7">
            <w:pPr>
              <w:rPr>
                <w:rFonts w:ascii="Verdana" w:hAnsi="Verdana"/>
                <w:sz w:val="20"/>
                <w:szCs w:val="20"/>
              </w:rPr>
            </w:pPr>
            <w:r>
              <w:rPr>
                <w:rFonts w:ascii="Verdana" w:hAnsi="Verdana"/>
                <w:sz w:val="20"/>
              </w:rPr>
              <w:t>Current</w:t>
            </w:r>
            <w:r w:rsidR="006A6BE2">
              <w:rPr>
                <w:rFonts w:ascii="Verdana" w:hAnsi="Verdana"/>
                <w:sz w:val="20"/>
              </w:rPr>
              <w:t xml:space="preserve"> value</w:t>
            </w:r>
          </w:p>
        </w:tc>
        <w:tc>
          <w:tcPr>
            <w:tcW w:w="3261" w:type="dxa"/>
            <w:tcBorders>
              <w:top w:val="single" w:sz="4" w:space="0" w:color="auto"/>
              <w:left w:val="single" w:sz="4" w:space="0" w:color="auto"/>
              <w:bottom w:val="single" w:sz="4" w:space="0" w:color="auto"/>
              <w:right w:val="single" w:sz="4" w:space="0" w:color="auto"/>
            </w:tcBorders>
            <w:hideMark/>
          </w:tcPr>
          <w:p w14:paraId="5FE2E5D2" w14:textId="77777777" w:rsidR="006A6BE2" w:rsidRPr="006E02E4" w:rsidRDefault="006A6BE2" w:rsidP="00562DE7">
            <w:pPr>
              <w:rPr>
                <w:rFonts w:ascii="Verdana" w:hAnsi="Verdana"/>
                <w:sz w:val="20"/>
                <w:szCs w:val="20"/>
              </w:rPr>
            </w:pPr>
            <w:r>
              <w:rPr>
                <w:rFonts w:ascii="Verdana" w:hAnsi="Verdana"/>
                <w:sz w:val="20"/>
              </w:rPr>
              <w:t>Paper factory without deinking</w:t>
            </w:r>
          </w:p>
        </w:tc>
      </w:tr>
      <w:tr w:rsidR="006A6BE2" w:rsidRPr="006E02E4" w14:paraId="15EBC14B"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3903B2D4" w14:textId="77777777" w:rsidR="006A6BE2" w:rsidRPr="006E02E4" w:rsidRDefault="006A6BE2" w:rsidP="00562DE7">
            <w:pPr>
              <w:rPr>
                <w:rFonts w:ascii="Verdana" w:hAnsi="Verdana"/>
                <w:sz w:val="20"/>
                <w:szCs w:val="20"/>
              </w:rPr>
            </w:pPr>
            <w:r>
              <w:rPr>
                <w:rFonts w:ascii="Verdana" w:hAnsi="Verdana"/>
                <w:sz w:val="20"/>
              </w:rPr>
              <w:t>Volumetric flow rate of waste water</w:t>
            </w:r>
          </w:p>
        </w:tc>
        <w:tc>
          <w:tcPr>
            <w:tcW w:w="3209" w:type="dxa"/>
            <w:tcBorders>
              <w:top w:val="single" w:sz="4" w:space="0" w:color="auto"/>
              <w:left w:val="single" w:sz="4" w:space="0" w:color="auto"/>
              <w:bottom w:val="single" w:sz="4" w:space="0" w:color="auto"/>
              <w:right w:val="single" w:sz="4" w:space="0" w:color="auto"/>
            </w:tcBorders>
          </w:tcPr>
          <w:p w14:paraId="5DF0451B" w14:textId="3347DABF"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hideMark/>
          </w:tcPr>
          <w:p w14:paraId="659811B2" w14:textId="77777777" w:rsidR="006A6BE2" w:rsidRPr="006E02E4" w:rsidRDefault="006A6BE2" w:rsidP="00562DE7">
            <w:pPr>
              <w:rPr>
                <w:rFonts w:ascii="Verdana" w:hAnsi="Verdana"/>
                <w:sz w:val="20"/>
                <w:szCs w:val="20"/>
              </w:rPr>
            </w:pPr>
            <w:r>
              <w:rPr>
                <w:rFonts w:ascii="Verdana" w:hAnsi="Verdana"/>
                <w:sz w:val="20"/>
              </w:rPr>
              <w:t xml:space="preserve">&lt;10 m³/Adt </w:t>
            </w:r>
          </w:p>
        </w:tc>
      </w:tr>
      <w:tr w:rsidR="006A6BE2" w:rsidRPr="006E02E4" w14:paraId="67358DE8"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106315BE" w14:textId="77777777" w:rsidR="006A6BE2" w:rsidRPr="006E02E4" w:rsidRDefault="006A6BE2" w:rsidP="00562DE7">
            <w:pPr>
              <w:rPr>
                <w:rFonts w:ascii="Verdana" w:hAnsi="Verdana"/>
                <w:sz w:val="20"/>
                <w:szCs w:val="20"/>
              </w:rPr>
            </w:pPr>
            <w:r>
              <w:rPr>
                <w:rFonts w:ascii="Verdana" w:hAnsi="Verdana"/>
                <w:sz w:val="20"/>
              </w:rPr>
              <w:t>COD</w:t>
            </w:r>
          </w:p>
        </w:tc>
        <w:tc>
          <w:tcPr>
            <w:tcW w:w="3209" w:type="dxa"/>
            <w:tcBorders>
              <w:top w:val="single" w:sz="4" w:space="0" w:color="auto"/>
              <w:left w:val="single" w:sz="4" w:space="0" w:color="auto"/>
              <w:bottom w:val="single" w:sz="4" w:space="0" w:color="auto"/>
              <w:right w:val="single" w:sz="4" w:space="0" w:color="auto"/>
            </w:tcBorders>
          </w:tcPr>
          <w:p w14:paraId="4445D60B" w14:textId="13AFC1D1"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hideMark/>
          </w:tcPr>
          <w:p w14:paraId="46312A6E" w14:textId="77777777" w:rsidR="006A6BE2" w:rsidRPr="006E02E4" w:rsidRDefault="006A6BE2" w:rsidP="00562DE7">
            <w:pPr>
              <w:rPr>
                <w:rFonts w:ascii="Verdana" w:hAnsi="Verdana"/>
                <w:sz w:val="20"/>
                <w:szCs w:val="20"/>
              </w:rPr>
            </w:pPr>
            <w:r>
              <w:rPr>
                <w:rFonts w:ascii="Verdana" w:hAnsi="Verdana"/>
                <w:sz w:val="20"/>
              </w:rPr>
              <w:t>&lt; 1.3 kg/Adt</w:t>
            </w:r>
          </w:p>
        </w:tc>
      </w:tr>
      <w:tr w:rsidR="006A6BE2" w:rsidRPr="006E02E4" w14:paraId="2059AB5B"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0C91F638" w14:textId="77777777" w:rsidR="006A6BE2" w:rsidRPr="006E02E4" w:rsidRDefault="006A6BE2" w:rsidP="00562DE7">
            <w:pPr>
              <w:rPr>
                <w:rFonts w:ascii="Verdana" w:hAnsi="Verdana"/>
                <w:sz w:val="20"/>
                <w:szCs w:val="20"/>
              </w:rPr>
            </w:pPr>
            <w:r>
              <w:rPr>
                <w:rFonts w:ascii="Verdana" w:hAnsi="Verdana"/>
                <w:sz w:val="20"/>
              </w:rPr>
              <w:t>BSB5</w:t>
            </w:r>
          </w:p>
        </w:tc>
        <w:tc>
          <w:tcPr>
            <w:tcW w:w="3209" w:type="dxa"/>
            <w:tcBorders>
              <w:top w:val="single" w:sz="4" w:space="0" w:color="auto"/>
              <w:left w:val="single" w:sz="4" w:space="0" w:color="auto"/>
              <w:bottom w:val="single" w:sz="4" w:space="0" w:color="auto"/>
              <w:right w:val="single" w:sz="4" w:space="0" w:color="auto"/>
            </w:tcBorders>
          </w:tcPr>
          <w:p w14:paraId="569F7C43" w14:textId="3BF13173"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14:paraId="3F6EFFD7" w14:textId="77777777" w:rsidR="006A6BE2" w:rsidRPr="006E02E4" w:rsidRDefault="006A6BE2" w:rsidP="00562DE7">
            <w:pPr>
              <w:rPr>
                <w:rFonts w:ascii="Verdana" w:hAnsi="Verdana"/>
                <w:sz w:val="20"/>
                <w:szCs w:val="20"/>
              </w:rPr>
            </w:pPr>
            <w:r>
              <w:rPr>
                <w:rFonts w:ascii="Verdana" w:hAnsi="Verdana"/>
                <w:sz w:val="20"/>
              </w:rPr>
              <w:t>&lt; 0.15 kg/Adt or &lt;25 mg/l</w:t>
            </w:r>
          </w:p>
        </w:tc>
      </w:tr>
      <w:tr w:rsidR="006A6BE2" w:rsidRPr="006E02E4" w14:paraId="1832B70A"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2B0F8A24" w14:textId="77777777" w:rsidR="006A6BE2" w:rsidRPr="006E02E4" w:rsidRDefault="006A6BE2" w:rsidP="00562DE7">
            <w:pPr>
              <w:rPr>
                <w:rFonts w:ascii="Verdana" w:hAnsi="Verdana"/>
                <w:sz w:val="20"/>
                <w:szCs w:val="20"/>
              </w:rPr>
            </w:pPr>
            <w:r>
              <w:rPr>
                <w:rFonts w:ascii="Verdana" w:hAnsi="Verdana"/>
                <w:sz w:val="20"/>
              </w:rPr>
              <w:t>AOX</w:t>
            </w:r>
          </w:p>
        </w:tc>
        <w:tc>
          <w:tcPr>
            <w:tcW w:w="3209" w:type="dxa"/>
            <w:tcBorders>
              <w:top w:val="single" w:sz="4" w:space="0" w:color="auto"/>
              <w:left w:val="single" w:sz="4" w:space="0" w:color="auto"/>
              <w:bottom w:val="single" w:sz="4" w:space="0" w:color="auto"/>
              <w:right w:val="single" w:sz="4" w:space="0" w:color="auto"/>
            </w:tcBorders>
          </w:tcPr>
          <w:p w14:paraId="0E3356E1" w14:textId="194740E8"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14:paraId="6298BA5F" w14:textId="77777777" w:rsidR="006A6BE2" w:rsidRPr="006E02E4" w:rsidRDefault="006A6BE2" w:rsidP="00562DE7">
            <w:pPr>
              <w:rPr>
                <w:rFonts w:ascii="Verdana" w:hAnsi="Verdana"/>
                <w:sz w:val="20"/>
                <w:szCs w:val="20"/>
              </w:rPr>
            </w:pPr>
            <w:r>
              <w:rPr>
                <w:rFonts w:ascii="Verdana" w:hAnsi="Verdana"/>
                <w:sz w:val="20"/>
              </w:rPr>
              <w:t>&lt; 0.01 kg/Adt</w:t>
            </w:r>
          </w:p>
        </w:tc>
      </w:tr>
      <w:tr w:rsidR="006A6BE2" w:rsidRPr="006E02E4" w14:paraId="7ED3BA5D"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6CA4BD04" w14:textId="77777777" w:rsidR="006A6BE2" w:rsidRPr="006E02E4" w:rsidRDefault="006A6BE2" w:rsidP="00562DE7">
            <w:pPr>
              <w:rPr>
                <w:rFonts w:ascii="Verdana" w:hAnsi="Verdana"/>
                <w:sz w:val="20"/>
                <w:szCs w:val="20"/>
              </w:rPr>
            </w:pPr>
            <w:r>
              <w:rPr>
                <w:rFonts w:ascii="Verdana" w:hAnsi="Verdana"/>
                <w:sz w:val="20"/>
              </w:rPr>
              <w:t>Total N (inorganic + organic N) (TNb)</w:t>
            </w:r>
          </w:p>
        </w:tc>
        <w:tc>
          <w:tcPr>
            <w:tcW w:w="3209" w:type="dxa"/>
            <w:tcBorders>
              <w:top w:val="single" w:sz="4" w:space="0" w:color="auto"/>
              <w:left w:val="single" w:sz="4" w:space="0" w:color="auto"/>
              <w:bottom w:val="single" w:sz="4" w:space="0" w:color="auto"/>
              <w:right w:val="single" w:sz="4" w:space="0" w:color="auto"/>
            </w:tcBorders>
          </w:tcPr>
          <w:p w14:paraId="06F4401D" w14:textId="0BCF4A19"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14:paraId="634C3D2C" w14:textId="77777777" w:rsidR="006A6BE2" w:rsidRPr="006E02E4" w:rsidRDefault="006A6BE2" w:rsidP="00562DE7">
            <w:pPr>
              <w:rPr>
                <w:rFonts w:ascii="Verdana" w:hAnsi="Verdana"/>
                <w:sz w:val="20"/>
                <w:szCs w:val="20"/>
              </w:rPr>
            </w:pPr>
            <w:r>
              <w:rPr>
                <w:rFonts w:ascii="Verdana" w:hAnsi="Verdana"/>
                <w:sz w:val="20"/>
              </w:rPr>
              <w:t>0.09 kg/Adt or 15 mg/l</w:t>
            </w:r>
          </w:p>
        </w:tc>
      </w:tr>
      <w:tr w:rsidR="006A6BE2" w:rsidRPr="006E02E4" w14:paraId="2F093233" w14:textId="77777777" w:rsidTr="006A6BE2">
        <w:tc>
          <w:tcPr>
            <w:tcW w:w="2667" w:type="dxa"/>
            <w:tcBorders>
              <w:top w:val="single" w:sz="4" w:space="0" w:color="auto"/>
              <w:left w:val="single" w:sz="4" w:space="0" w:color="auto"/>
              <w:bottom w:val="single" w:sz="4" w:space="0" w:color="auto"/>
              <w:right w:val="single" w:sz="4" w:space="0" w:color="auto"/>
            </w:tcBorders>
            <w:hideMark/>
          </w:tcPr>
          <w:p w14:paraId="1BA18BE1" w14:textId="77777777" w:rsidR="006A6BE2" w:rsidRPr="006E02E4" w:rsidRDefault="006A6BE2" w:rsidP="00562DE7">
            <w:pPr>
              <w:rPr>
                <w:rFonts w:ascii="Verdana" w:hAnsi="Verdana"/>
                <w:sz w:val="20"/>
                <w:szCs w:val="20"/>
              </w:rPr>
            </w:pPr>
            <w:r>
              <w:rPr>
                <w:rFonts w:ascii="Verdana" w:hAnsi="Verdana"/>
                <w:sz w:val="20"/>
              </w:rPr>
              <w:t>Total P</w:t>
            </w:r>
          </w:p>
        </w:tc>
        <w:tc>
          <w:tcPr>
            <w:tcW w:w="3209" w:type="dxa"/>
            <w:tcBorders>
              <w:top w:val="single" w:sz="4" w:space="0" w:color="auto"/>
              <w:left w:val="single" w:sz="4" w:space="0" w:color="auto"/>
              <w:bottom w:val="single" w:sz="4" w:space="0" w:color="auto"/>
              <w:right w:val="single" w:sz="4" w:space="0" w:color="auto"/>
            </w:tcBorders>
          </w:tcPr>
          <w:p w14:paraId="1F800797" w14:textId="673F7A0D" w:rsidR="006A6BE2" w:rsidRPr="006E02E4" w:rsidRDefault="00C750FC" w:rsidP="00562DE7">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c>
          <w:tcPr>
            <w:tcW w:w="3261" w:type="dxa"/>
            <w:tcBorders>
              <w:top w:val="single" w:sz="4" w:space="0" w:color="auto"/>
              <w:left w:val="single" w:sz="4" w:space="0" w:color="auto"/>
              <w:bottom w:val="single" w:sz="4" w:space="0" w:color="auto"/>
              <w:right w:val="single" w:sz="4" w:space="0" w:color="auto"/>
            </w:tcBorders>
          </w:tcPr>
          <w:p w14:paraId="0DAFDEF6" w14:textId="77777777" w:rsidR="006A6BE2" w:rsidRPr="006E02E4" w:rsidRDefault="006A6BE2" w:rsidP="00562DE7">
            <w:pPr>
              <w:rPr>
                <w:rFonts w:ascii="Verdana" w:hAnsi="Verdana"/>
                <w:sz w:val="20"/>
                <w:szCs w:val="20"/>
              </w:rPr>
            </w:pPr>
            <w:r>
              <w:rPr>
                <w:rFonts w:ascii="Verdana" w:hAnsi="Verdana"/>
                <w:sz w:val="20"/>
              </w:rPr>
              <w:t>0.008 kg/Adt or 1.5 mg/l</w:t>
            </w:r>
          </w:p>
        </w:tc>
      </w:tr>
    </w:tbl>
    <w:p w14:paraId="0ED7962A" w14:textId="77777777" w:rsidR="006A6BE2" w:rsidRPr="006E02E4" w:rsidRDefault="006A6BE2" w:rsidP="006A6BE2">
      <w:pPr>
        <w:pStyle w:val="Funotentext"/>
      </w:pPr>
      <w:r>
        <w:br/>
        <w:t xml:space="preserve">Adt = air dried ton </w:t>
      </w:r>
    </w:p>
    <w:p w14:paraId="7FA86F3E" w14:textId="77777777" w:rsidR="006A6BE2" w:rsidRPr="006E02E4" w:rsidRDefault="006A6BE2" w:rsidP="006A6BE2">
      <w:pPr>
        <w:pStyle w:val="Funotentext"/>
      </w:pPr>
      <w:r>
        <w:t>COD = chemical oxygen demand</w:t>
      </w:r>
    </w:p>
    <w:p w14:paraId="7BC0A13E" w14:textId="77777777" w:rsidR="006A6BE2" w:rsidRPr="006E02E4" w:rsidRDefault="006A6BE2" w:rsidP="006A6BE2">
      <w:pPr>
        <w:pStyle w:val="Funotentext"/>
      </w:pPr>
      <w:r>
        <w:t>BSB5 = biological oxygen demand (5 days)</w:t>
      </w:r>
    </w:p>
    <w:p w14:paraId="27F6D451" w14:textId="77777777" w:rsidR="006A6BE2" w:rsidRPr="006E02E4" w:rsidRDefault="006A6BE2" w:rsidP="006A6BE2">
      <w:pPr>
        <w:pStyle w:val="Funotentext"/>
      </w:pPr>
      <w:r>
        <w:t>AOX = adsorbable organically combined halogens</w:t>
      </w:r>
    </w:p>
    <w:p w14:paraId="433BE697" w14:textId="77777777" w:rsidR="006A6BE2" w:rsidRPr="006E02E4" w:rsidRDefault="006A6BE2" w:rsidP="006A6BE2">
      <w:pPr>
        <w:pStyle w:val="Funotentext"/>
      </w:pPr>
      <w:r>
        <w:t>Total N = total nitrogen TNb = total Nitrogen bound.</w:t>
      </w:r>
      <w:r w:rsidRPr="006E02E4">
        <w:rPr>
          <w:rStyle w:val="Funotenzeichen"/>
        </w:rPr>
        <w:footnoteReference w:id="2"/>
      </w:r>
    </w:p>
    <w:p w14:paraId="6C0A0D6A" w14:textId="77777777" w:rsidR="006A6BE2" w:rsidRPr="006E02E4" w:rsidRDefault="006A6BE2" w:rsidP="006A6BE2">
      <w:pPr>
        <w:pStyle w:val="Funotentext"/>
      </w:pPr>
      <w:r>
        <w:t>Total P = total phosphorous</w:t>
      </w:r>
    </w:p>
    <w:p w14:paraId="58B17E30" w14:textId="77777777" w:rsidR="006A6BE2" w:rsidRDefault="006A6BE2" w:rsidP="004D447F">
      <w:pPr>
        <w:pStyle w:val="Funotentext"/>
      </w:pPr>
    </w:p>
    <w:p w14:paraId="2C42D9D2" w14:textId="77777777" w:rsidR="00B63A50" w:rsidRPr="006E02E4" w:rsidRDefault="00B63A50" w:rsidP="004D447F">
      <w:pPr>
        <w:pStyle w:val="Funotentext"/>
      </w:pPr>
    </w:p>
    <w:p w14:paraId="1BAB13B9"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EA7AD2" w:rsidRPr="006E02E4" w14:paraId="6583B9C9" w14:textId="77777777" w:rsidTr="0061014A">
        <w:trPr>
          <w:trHeight w:val="803"/>
        </w:trPr>
        <w:tc>
          <w:tcPr>
            <w:tcW w:w="922" w:type="dxa"/>
            <w:tcBorders>
              <w:top w:val="nil"/>
              <w:left w:val="nil"/>
              <w:bottom w:val="nil"/>
            </w:tcBorders>
            <w:vAlign w:val="center"/>
          </w:tcPr>
          <w:p w14:paraId="0D207029" w14:textId="77777777" w:rsidR="00EA7AD2" w:rsidRPr="006E02E4" w:rsidRDefault="00EA7AD2" w:rsidP="0061014A">
            <w:pPr>
              <w:rPr>
                <w:rFonts w:ascii="Verdana" w:hAnsi="Verdana" w:cs="Arial"/>
                <w:b/>
              </w:rPr>
            </w:pPr>
            <w:r>
              <w:rPr>
                <w:rFonts w:ascii="Verdana" w:hAnsi="Verdana"/>
                <w:b/>
              </w:rPr>
              <w:t>Location:</w:t>
            </w:r>
          </w:p>
        </w:tc>
        <w:tc>
          <w:tcPr>
            <w:tcW w:w="2565" w:type="dxa"/>
            <w:tcBorders>
              <w:bottom w:val="single" w:sz="4" w:space="0" w:color="auto"/>
            </w:tcBorders>
            <w:vAlign w:val="center"/>
          </w:tcPr>
          <w:p w14:paraId="307B811A" w14:textId="1ED69878" w:rsidR="00EA7AD2" w:rsidRPr="006E02E4" w:rsidRDefault="00C750FC"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1"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1"/>
          </w:p>
        </w:tc>
        <w:tc>
          <w:tcPr>
            <w:tcW w:w="142" w:type="dxa"/>
            <w:tcBorders>
              <w:top w:val="nil"/>
              <w:bottom w:val="nil"/>
            </w:tcBorders>
          </w:tcPr>
          <w:p w14:paraId="0D14A2BB"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6BB3A311" w14:textId="77777777" w:rsidR="00EA7AD2" w:rsidRPr="006E02E4" w:rsidRDefault="00EA7AD2" w:rsidP="0061014A">
                <w:pPr>
                  <w:jc w:val="center"/>
                  <w:rPr>
                    <w:rFonts w:ascii="Verdana" w:hAnsi="Verdana" w:cs="Arial"/>
                    <w:b/>
                  </w:rPr>
                </w:pPr>
                <w:r>
                  <w:rPr>
                    <w:rFonts w:ascii="Verdana" w:hAnsi="Verdana"/>
                    <w:b/>
                    <w:noProof/>
                  </w:rPr>
                  <w:drawing>
                    <wp:inline distT="0" distB="0" distL="0" distR="0" wp14:anchorId="74BF7404" wp14:editId="6FD2ADFE">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5C407526" w14:textId="77777777" w:rsidTr="0061014A">
        <w:trPr>
          <w:trHeight w:val="190"/>
        </w:trPr>
        <w:tc>
          <w:tcPr>
            <w:tcW w:w="922" w:type="dxa"/>
            <w:tcBorders>
              <w:top w:val="nil"/>
              <w:left w:val="nil"/>
              <w:bottom w:val="nil"/>
              <w:right w:val="nil"/>
            </w:tcBorders>
            <w:vAlign w:val="center"/>
          </w:tcPr>
          <w:p w14:paraId="097B428B"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58B47EE6"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1F75246F"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C0378DC" w14:textId="77777777" w:rsidR="00EA7AD2" w:rsidRPr="006E02E4" w:rsidRDefault="00EA7AD2" w:rsidP="0061014A">
            <w:pPr>
              <w:jc w:val="center"/>
              <w:rPr>
                <w:rFonts w:ascii="Verdana" w:hAnsi="Verdana" w:cs="Arial"/>
                <w:b/>
              </w:rPr>
            </w:pPr>
          </w:p>
        </w:tc>
      </w:tr>
      <w:tr w:rsidR="00EA7AD2" w:rsidRPr="006E02E4" w14:paraId="7B8BA3AD" w14:textId="77777777" w:rsidTr="0061014A">
        <w:trPr>
          <w:trHeight w:val="404"/>
        </w:trPr>
        <w:tc>
          <w:tcPr>
            <w:tcW w:w="922" w:type="dxa"/>
            <w:tcBorders>
              <w:top w:val="nil"/>
              <w:left w:val="nil"/>
              <w:bottom w:val="nil"/>
            </w:tcBorders>
            <w:vAlign w:val="center"/>
          </w:tcPr>
          <w:p w14:paraId="2FDB1BEE" w14:textId="77777777" w:rsidR="00EA7AD2" w:rsidRPr="006E02E4" w:rsidRDefault="00EA7AD2" w:rsidP="0061014A">
            <w:pPr>
              <w:rPr>
                <w:rFonts w:ascii="Verdana" w:hAnsi="Verdana" w:cs="Arial"/>
                <w:b/>
              </w:rPr>
            </w:pPr>
            <w:r>
              <w:rPr>
                <w:rFonts w:ascii="Verdana" w:hAnsi="Verdana"/>
                <w:b/>
              </w:rPr>
              <w:t>Date:</w:t>
            </w:r>
          </w:p>
        </w:tc>
        <w:tc>
          <w:tcPr>
            <w:tcW w:w="2565" w:type="dxa"/>
            <w:vAlign w:val="center"/>
          </w:tcPr>
          <w:p w14:paraId="03CB4D3C" w14:textId="4B00BA7F" w:rsidR="00EA7AD2" w:rsidRPr="006E02E4" w:rsidRDefault="00C750FC"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2"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2"/>
          </w:p>
        </w:tc>
        <w:tc>
          <w:tcPr>
            <w:tcW w:w="142" w:type="dxa"/>
            <w:tcBorders>
              <w:top w:val="nil"/>
              <w:bottom w:val="nil"/>
            </w:tcBorders>
          </w:tcPr>
          <w:p w14:paraId="295EAD1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30244C30" w14:textId="77777777" w:rsidR="00EA7AD2" w:rsidRPr="006E02E4" w:rsidRDefault="00EA7AD2" w:rsidP="0061014A">
            <w:pPr>
              <w:jc w:val="right"/>
              <w:rPr>
                <w:rFonts w:ascii="Verdana" w:hAnsi="Verdana" w:cs="Arial"/>
                <w:b/>
              </w:rPr>
            </w:pPr>
          </w:p>
        </w:tc>
      </w:tr>
    </w:tbl>
    <w:p w14:paraId="371326AC" w14:textId="77777777" w:rsidR="00FA577A" w:rsidRDefault="00EA7AD2" w:rsidP="00EA7AD2">
      <w:pPr>
        <w:jc w:val="right"/>
        <w:rPr>
          <w:rFonts w:cs="Arial"/>
        </w:rPr>
      </w:pPr>
      <w:r>
        <w:rPr>
          <w:rFonts w:ascii="Verdana" w:hAnsi="Verdana"/>
          <w:b/>
          <w:sz w:val="20"/>
        </w:rPr>
        <w:t>Legally binding signature / company stamp</w:t>
      </w:r>
      <w:r>
        <w:rPr>
          <w:rFonts w:ascii="Verdana" w:hAnsi="Verdana"/>
          <w:b/>
          <w:sz w:val="20"/>
        </w:rPr>
        <w:br/>
        <w:t>of the app</w:t>
      </w:r>
      <w:bookmarkEnd w:id="0"/>
      <w:r>
        <w:rPr>
          <w:rFonts w:ascii="Verdana" w:hAnsi="Verdana"/>
          <w:b/>
          <w:sz w:val="20"/>
        </w:rPr>
        <w:t>licant</w:t>
      </w: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FC8EF" w14:textId="77777777" w:rsidR="00E20E97" w:rsidRDefault="00E20E97" w:rsidP="00EA7AD2">
      <w:pPr>
        <w:spacing w:after="0" w:line="240" w:lineRule="auto"/>
      </w:pPr>
      <w:r>
        <w:separator/>
      </w:r>
    </w:p>
  </w:endnote>
  <w:endnote w:type="continuationSeparator" w:id="0">
    <w:p w14:paraId="1A7E115A" w14:textId="77777777" w:rsidR="00E20E97" w:rsidRDefault="00E20E97"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9C10C" w14:textId="776D7749" w:rsidR="00FA577A" w:rsidRPr="00B010C2" w:rsidRDefault="000C51C6" w:rsidP="00FA577A">
    <w:pPr>
      <w:pStyle w:val="Fuzeile"/>
      <w:tabs>
        <w:tab w:val="clear" w:pos="9072"/>
        <w:tab w:val="right" w:pos="9540"/>
      </w:tabs>
      <w:rPr>
        <w:rFonts w:cs="Arial"/>
      </w:rPr>
    </w:pPr>
    <w:r>
      <w:t>03.06.</w:t>
    </w:r>
    <w:r w:rsidR="005B5371">
      <w:t>2022 Annex 4</w:t>
    </w:r>
    <w:r w:rsidR="005B5371">
      <w:tab/>
    </w:r>
    <w:r w:rsidR="005B5371">
      <w:rPr>
        <w:rStyle w:val="Seitenzahl"/>
      </w:rPr>
      <w:t>1/6</w:t>
    </w:r>
    <w:r w:rsidR="005B5371">
      <w:rPr>
        <w:rStyle w:val="Seitenzahl"/>
      </w:rPr>
      <w:tab/>
      <w:t xml:space="preserve">     DE-UZ 5 Edition January 2022</w:t>
    </w:r>
  </w:p>
  <w:p w14:paraId="400FBE41"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47221" w14:textId="77777777" w:rsidR="00E20E97" w:rsidRDefault="00E20E97" w:rsidP="00EA7AD2">
      <w:pPr>
        <w:spacing w:after="0" w:line="240" w:lineRule="auto"/>
      </w:pPr>
      <w:r>
        <w:separator/>
      </w:r>
    </w:p>
  </w:footnote>
  <w:footnote w:type="continuationSeparator" w:id="0">
    <w:p w14:paraId="3FE90989" w14:textId="77777777" w:rsidR="00E20E97" w:rsidRDefault="00E20E97" w:rsidP="00EA7AD2">
      <w:pPr>
        <w:spacing w:after="0" w:line="240" w:lineRule="auto"/>
      </w:pPr>
      <w:r>
        <w:continuationSeparator/>
      </w:r>
    </w:p>
  </w:footnote>
  <w:footnote w:id="1">
    <w:p w14:paraId="349F9F23" w14:textId="77777777" w:rsidR="004D447F" w:rsidRPr="006E02E4" w:rsidRDefault="004D447F" w:rsidP="004D447F">
      <w:pPr>
        <w:pStyle w:val="Funotentext"/>
        <w:rPr>
          <w:sz w:val="16"/>
          <w:szCs w:val="16"/>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 w:id="2">
    <w:p w14:paraId="6AA8D1D0" w14:textId="77777777" w:rsidR="006A6BE2" w:rsidRPr="006E02E4" w:rsidRDefault="006A6BE2" w:rsidP="006A6BE2">
      <w:pPr>
        <w:pStyle w:val="Funotentext"/>
        <w:rPr>
          <w:sz w:val="16"/>
          <w:szCs w:val="16"/>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266E7" w14:textId="77777777" w:rsidR="006D6F4A" w:rsidRDefault="006D6F4A" w:rsidP="006D6F4A">
    <w:pPr>
      <w:pStyle w:val="Kopfzeile"/>
      <w:jc w:val="right"/>
    </w:pPr>
    <w:r>
      <w:rPr>
        <w:noProof/>
      </w:rPr>
      <w:drawing>
        <wp:inline distT="0" distB="0" distL="0" distR="0" wp14:anchorId="54583636" wp14:editId="5724AA21">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bPne0xSogr4YdyPcQ43KsFUfbdIFVyFafqZl9+gznp1fC0SAP8KaScZnnOnEvOsswjyRmkJKew+yXh6ExQCafA==" w:salt="mPrHGC2ufAMxbLQH0kovU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C51C6"/>
    <w:rsid w:val="000F7E02"/>
    <w:rsid w:val="000F7E32"/>
    <w:rsid w:val="001116BC"/>
    <w:rsid w:val="001D5B48"/>
    <w:rsid w:val="00346AE5"/>
    <w:rsid w:val="00495520"/>
    <w:rsid w:val="004D2F9C"/>
    <w:rsid w:val="004D447F"/>
    <w:rsid w:val="00533BAF"/>
    <w:rsid w:val="005375AB"/>
    <w:rsid w:val="005B5371"/>
    <w:rsid w:val="006241C9"/>
    <w:rsid w:val="006A6BE2"/>
    <w:rsid w:val="006D6F4A"/>
    <w:rsid w:val="006E02E4"/>
    <w:rsid w:val="00727581"/>
    <w:rsid w:val="00730C12"/>
    <w:rsid w:val="00787683"/>
    <w:rsid w:val="008A0DFB"/>
    <w:rsid w:val="008E72AE"/>
    <w:rsid w:val="00953423"/>
    <w:rsid w:val="00990D28"/>
    <w:rsid w:val="009E3109"/>
    <w:rsid w:val="00B63A50"/>
    <w:rsid w:val="00B67247"/>
    <w:rsid w:val="00B84783"/>
    <w:rsid w:val="00B86AC2"/>
    <w:rsid w:val="00BD4319"/>
    <w:rsid w:val="00C750FC"/>
    <w:rsid w:val="00D17188"/>
    <w:rsid w:val="00E20E97"/>
    <w:rsid w:val="00EA7AD2"/>
    <w:rsid w:val="00FA577A"/>
    <w:rsid w:val="00FB1525"/>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9BB04"/>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5</cp:revision>
  <dcterms:created xsi:type="dcterms:W3CDTF">2022-06-03T09:31:00Z</dcterms:created>
  <dcterms:modified xsi:type="dcterms:W3CDTF">2022-06-03T09:36:00Z</dcterms:modified>
</cp:coreProperties>
</file>